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6FF9" w14:textId="77777777" w:rsidR="000B5895" w:rsidRPr="007B3A4C" w:rsidRDefault="00000000">
      <w:pPr>
        <w:spacing w:before="240" w:after="240" w:line="259" w:lineRule="auto"/>
        <w:ind w:left="270"/>
        <w:rPr>
          <w:b/>
          <w:sz w:val="24"/>
          <w:szCs w:val="24"/>
        </w:rPr>
      </w:pPr>
      <w:r w:rsidRPr="007B3A4C">
        <w:rPr>
          <w:b/>
          <w:sz w:val="24"/>
          <w:szCs w:val="24"/>
        </w:rPr>
        <w:t>Clinical Neuromuscular and EMG Fellowship at the University of Alberta</w:t>
      </w:r>
    </w:p>
    <w:p w14:paraId="66998F47" w14:textId="77777777" w:rsidR="000B5895" w:rsidRPr="007B3A4C" w:rsidRDefault="00000000">
      <w:pPr>
        <w:spacing w:before="240" w:after="240" w:line="259" w:lineRule="auto"/>
        <w:ind w:left="270"/>
        <w:rPr>
          <w:sz w:val="24"/>
          <w:szCs w:val="24"/>
        </w:rPr>
      </w:pPr>
      <w:r w:rsidRPr="007B3A4C">
        <w:rPr>
          <w:sz w:val="24"/>
          <w:szCs w:val="24"/>
        </w:rPr>
        <w:t>This is a one-year clinical fellowship in Neuromuscular Medicine and Electromyography. The candidate will receive training in adult neuromuscular disorders, EMG/NCS, peripheral nerve ultrasound, muscle and nerve biopsy, neuropathology, and autonomic disorders.</w:t>
      </w:r>
    </w:p>
    <w:p w14:paraId="2C1A7F3F" w14:textId="77777777" w:rsidR="000B5895" w:rsidRPr="007B3A4C" w:rsidRDefault="00000000">
      <w:pPr>
        <w:spacing w:before="240" w:after="240" w:line="259" w:lineRule="auto"/>
        <w:ind w:left="270"/>
        <w:rPr>
          <w:b/>
          <w:sz w:val="24"/>
          <w:szCs w:val="24"/>
        </w:rPr>
      </w:pPr>
      <w:r w:rsidRPr="007B3A4C">
        <w:rPr>
          <w:b/>
          <w:sz w:val="24"/>
          <w:szCs w:val="24"/>
        </w:rPr>
        <w:t>Clinical Training (Outpatient):</w:t>
      </w:r>
    </w:p>
    <w:p w14:paraId="0F904F4F" w14:textId="55186584" w:rsidR="000B5895" w:rsidRPr="007B3A4C" w:rsidRDefault="00000000">
      <w:pPr>
        <w:spacing w:before="240" w:after="240" w:line="259" w:lineRule="auto"/>
        <w:ind w:left="270"/>
        <w:rPr>
          <w:sz w:val="24"/>
          <w:szCs w:val="24"/>
        </w:rPr>
      </w:pPr>
      <w:r w:rsidRPr="007B3A4C">
        <w:rPr>
          <w:sz w:val="24"/>
          <w:szCs w:val="24"/>
        </w:rPr>
        <w:t xml:space="preserve">All outpatient clinical activities are based out of the University of Alberta Kaye Edmonton Clinic. In a given week there are five full days of adult Neuromuscular, EMG, Neuromuscular Multidisciplinary, ALS Multidisciplinary, Autonomic, Biopsy (muscle and nerve) and Neuromuscular Pathology clinics which are staffed by </w:t>
      </w:r>
      <w:r w:rsidR="007B3A4C" w:rsidRPr="007B3A4C">
        <w:rPr>
          <w:sz w:val="24"/>
          <w:szCs w:val="24"/>
        </w:rPr>
        <w:t>8</w:t>
      </w:r>
      <w:r w:rsidRPr="007B3A4C">
        <w:rPr>
          <w:sz w:val="24"/>
          <w:szCs w:val="24"/>
        </w:rPr>
        <w:t xml:space="preserve"> neuromuscular neurologists and </w:t>
      </w:r>
      <w:r w:rsidR="007B3A4C" w:rsidRPr="007B3A4C">
        <w:rPr>
          <w:sz w:val="24"/>
          <w:szCs w:val="24"/>
        </w:rPr>
        <w:t xml:space="preserve">1 </w:t>
      </w:r>
      <w:r w:rsidRPr="007B3A4C">
        <w:rPr>
          <w:sz w:val="24"/>
          <w:szCs w:val="24"/>
        </w:rPr>
        <w:t xml:space="preserve">non-neuromuscular EMG neurologist. </w:t>
      </w:r>
      <w:r w:rsidRPr="007B3A4C">
        <w:rPr>
          <w:b/>
          <w:sz w:val="24"/>
          <w:szCs w:val="24"/>
        </w:rPr>
        <w:t xml:space="preserve">The fellow will be expected to attend at least 7 half day clinics per week. </w:t>
      </w:r>
      <w:r w:rsidRPr="007B3A4C">
        <w:rPr>
          <w:sz w:val="24"/>
          <w:szCs w:val="24"/>
        </w:rPr>
        <w:t>The remainder 3 non-clinical half days will be dedicated to following up on patient’s investigation results and inquiries (especially during the latter half of the fellowship where the fellow will follow patients in longitudinal clinic), completing clinic letters, working on research project, preparing for rounds and didactic lectures to residents, and self-initiated reading.</w:t>
      </w:r>
    </w:p>
    <w:p w14:paraId="2E3F3EC0" w14:textId="77777777" w:rsidR="000B5895" w:rsidRPr="007B3A4C" w:rsidRDefault="00000000">
      <w:pPr>
        <w:spacing w:before="240" w:after="240" w:line="259" w:lineRule="auto"/>
        <w:ind w:left="270"/>
        <w:rPr>
          <w:sz w:val="24"/>
          <w:szCs w:val="24"/>
        </w:rPr>
      </w:pPr>
      <w:r w:rsidRPr="007B3A4C">
        <w:rPr>
          <w:sz w:val="24"/>
          <w:szCs w:val="24"/>
        </w:rPr>
        <w:t>Neuromuscular and EMG attendings and areas of interest:</w:t>
      </w:r>
    </w:p>
    <w:p w14:paraId="4B57164E" w14:textId="77777777" w:rsidR="000B5895" w:rsidRPr="007B3A4C" w:rsidRDefault="00000000">
      <w:pPr>
        <w:numPr>
          <w:ilvl w:val="0"/>
          <w:numId w:val="3"/>
        </w:numPr>
        <w:rPr>
          <w:sz w:val="24"/>
          <w:szCs w:val="24"/>
        </w:rPr>
      </w:pPr>
      <w:r w:rsidRPr="007B3A4C">
        <w:rPr>
          <w:sz w:val="24"/>
          <w:szCs w:val="24"/>
        </w:rPr>
        <w:t>Dr. Grayson Beecher – peripheral nerve ultrasound, clinical research, EMG</w:t>
      </w:r>
    </w:p>
    <w:p w14:paraId="66FF7DE8" w14:textId="77777777" w:rsidR="000B5895" w:rsidRPr="007B3A4C" w:rsidRDefault="00000000">
      <w:pPr>
        <w:numPr>
          <w:ilvl w:val="0"/>
          <w:numId w:val="3"/>
        </w:numPr>
        <w:rPr>
          <w:sz w:val="24"/>
          <w:szCs w:val="24"/>
        </w:rPr>
      </w:pPr>
      <w:r w:rsidRPr="007B3A4C">
        <w:rPr>
          <w:sz w:val="24"/>
          <w:szCs w:val="24"/>
        </w:rPr>
        <w:t>Dr. Peter Dobrowolski – ALS, EMG</w:t>
      </w:r>
    </w:p>
    <w:p w14:paraId="4CE6E147" w14:textId="2C04A89A" w:rsidR="008B26D9" w:rsidRPr="007B3A4C" w:rsidRDefault="008B26D9">
      <w:pPr>
        <w:numPr>
          <w:ilvl w:val="0"/>
          <w:numId w:val="3"/>
        </w:numPr>
        <w:rPr>
          <w:sz w:val="24"/>
          <w:szCs w:val="24"/>
        </w:rPr>
      </w:pPr>
      <w:r w:rsidRPr="007B3A4C">
        <w:rPr>
          <w:sz w:val="24"/>
          <w:szCs w:val="24"/>
        </w:rPr>
        <w:t>Dr. Daniel Fok – EMG, ALS, Quality Improvement</w:t>
      </w:r>
    </w:p>
    <w:p w14:paraId="728E29BC" w14:textId="77777777" w:rsidR="000B5895" w:rsidRPr="007B3A4C" w:rsidRDefault="00000000">
      <w:pPr>
        <w:numPr>
          <w:ilvl w:val="0"/>
          <w:numId w:val="3"/>
        </w:numPr>
        <w:rPr>
          <w:sz w:val="24"/>
          <w:szCs w:val="24"/>
        </w:rPr>
      </w:pPr>
      <w:r w:rsidRPr="007B3A4C">
        <w:rPr>
          <w:sz w:val="24"/>
          <w:szCs w:val="24"/>
        </w:rPr>
        <w:t xml:space="preserve">Dr. George </w:t>
      </w:r>
      <w:proofErr w:type="spellStart"/>
      <w:r w:rsidRPr="007B3A4C">
        <w:rPr>
          <w:sz w:val="24"/>
          <w:szCs w:val="24"/>
        </w:rPr>
        <w:t>Elleker</w:t>
      </w:r>
      <w:proofErr w:type="spellEnd"/>
      <w:r w:rsidRPr="007B3A4C">
        <w:rPr>
          <w:sz w:val="24"/>
          <w:szCs w:val="24"/>
        </w:rPr>
        <w:t xml:space="preserve"> – EMG</w:t>
      </w:r>
    </w:p>
    <w:p w14:paraId="52E4062F" w14:textId="77777777" w:rsidR="000B5895" w:rsidRPr="007B3A4C" w:rsidRDefault="00000000">
      <w:pPr>
        <w:numPr>
          <w:ilvl w:val="0"/>
          <w:numId w:val="3"/>
        </w:numPr>
        <w:rPr>
          <w:sz w:val="24"/>
          <w:szCs w:val="24"/>
        </w:rPr>
      </w:pPr>
      <w:r w:rsidRPr="007B3A4C">
        <w:rPr>
          <w:sz w:val="24"/>
          <w:szCs w:val="24"/>
        </w:rPr>
        <w:t>Dr. Wendy Johnston – ALS and ALS research, palliative care, EMG</w:t>
      </w:r>
    </w:p>
    <w:p w14:paraId="10CE20B4" w14:textId="77777777" w:rsidR="000B5895" w:rsidRPr="007B3A4C" w:rsidRDefault="00000000">
      <w:pPr>
        <w:numPr>
          <w:ilvl w:val="0"/>
          <w:numId w:val="3"/>
        </w:numPr>
        <w:rPr>
          <w:sz w:val="24"/>
          <w:szCs w:val="24"/>
        </w:rPr>
      </w:pPr>
      <w:r w:rsidRPr="007B3A4C">
        <w:rPr>
          <w:sz w:val="24"/>
          <w:szCs w:val="24"/>
        </w:rPr>
        <w:t>Dr. Wasim Khan – EMG</w:t>
      </w:r>
    </w:p>
    <w:p w14:paraId="4EC954E2" w14:textId="2EFDD314" w:rsidR="000B5895" w:rsidRPr="007B3A4C" w:rsidRDefault="00000000">
      <w:pPr>
        <w:numPr>
          <w:ilvl w:val="0"/>
          <w:numId w:val="3"/>
        </w:numPr>
        <w:rPr>
          <w:sz w:val="24"/>
          <w:szCs w:val="24"/>
        </w:rPr>
      </w:pPr>
      <w:r w:rsidRPr="007B3A4C">
        <w:rPr>
          <w:sz w:val="24"/>
          <w:szCs w:val="24"/>
        </w:rPr>
        <w:t xml:space="preserve">Dr. Cecile Phan – muscle disorders, neuromuscular pathology, </w:t>
      </w:r>
      <w:r w:rsidR="008B26D9" w:rsidRPr="007B3A4C">
        <w:rPr>
          <w:sz w:val="24"/>
          <w:szCs w:val="24"/>
        </w:rPr>
        <w:t xml:space="preserve">clinical trials, </w:t>
      </w:r>
      <w:r w:rsidRPr="007B3A4C">
        <w:rPr>
          <w:sz w:val="24"/>
          <w:szCs w:val="24"/>
        </w:rPr>
        <w:t>EMG</w:t>
      </w:r>
    </w:p>
    <w:p w14:paraId="1CCA447C" w14:textId="77777777" w:rsidR="000B5895" w:rsidRPr="007B3A4C" w:rsidRDefault="00000000">
      <w:pPr>
        <w:numPr>
          <w:ilvl w:val="0"/>
          <w:numId w:val="3"/>
        </w:numPr>
        <w:rPr>
          <w:sz w:val="24"/>
          <w:szCs w:val="24"/>
        </w:rPr>
      </w:pPr>
      <w:r w:rsidRPr="007B3A4C">
        <w:rPr>
          <w:sz w:val="24"/>
          <w:szCs w:val="24"/>
        </w:rPr>
        <w:t>Dr. Zaeem Siddiqi – myasthenia gravis, autonomic disorders, clinical trials in MG and CIDP, EMG</w:t>
      </w:r>
    </w:p>
    <w:p w14:paraId="16B20F7B" w14:textId="77777777" w:rsidR="000B5895" w:rsidRPr="007B3A4C" w:rsidRDefault="00000000">
      <w:pPr>
        <w:numPr>
          <w:ilvl w:val="0"/>
          <w:numId w:val="3"/>
        </w:numPr>
        <w:rPr>
          <w:sz w:val="24"/>
          <w:szCs w:val="24"/>
        </w:rPr>
      </w:pPr>
      <w:r w:rsidRPr="007B3A4C">
        <w:rPr>
          <w:sz w:val="24"/>
          <w:szCs w:val="24"/>
        </w:rPr>
        <w:t xml:space="preserve">Dr. Douglas </w:t>
      </w:r>
      <w:proofErr w:type="spellStart"/>
      <w:r w:rsidRPr="007B3A4C">
        <w:rPr>
          <w:sz w:val="24"/>
          <w:szCs w:val="24"/>
        </w:rPr>
        <w:t>Zochodne</w:t>
      </w:r>
      <w:proofErr w:type="spellEnd"/>
      <w:r w:rsidRPr="007B3A4C">
        <w:rPr>
          <w:sz w:val="24"/>
          <w:szCs w:val="24"/>
        </w:rPr>
        <w:t xml:space="preserve"> – neuropathies, basic science research, EMG</w:t>
      </w:r>
    </w:p>
    <w:p w14:paraId="4808B1A2" w14:textId="77777777" w:rsidR="000B5895" w:rsidRPr="007B3A4C" w:rsidRDefault="000B5895">
      <w:pPr>
        <w:rPr>
          <w:sz w:val="24"/>
          <w:szCs w:val="24"/>
        </w:rPr>
      </w:pPr>
    </w:p>
    <w:p w14:paraId="1093666D" w14:textId="77777777" w:rsidR="000B5895" w:rsidRPr="007B3A4C" w:rsidRDefault="00000000">
      <w:pPr>
        <w:ind w:left="270"/>
        <w:rPr>
          <w:sz w:val="24"/>
          <w:szCs w:val="24"/>
        </w:rPr>
      </w:pPr>
      <w:r w:rsidRPr="007B3A4C">
        <w:rPr>
          <w:sz w:val="24"/>
          <w:szCs w:val="24"/>
        </w:rPr>
        <w:t>Non-neuromuscular attending</w:t>
      </w:r>
    </w:p>
    <w:p w14:paraId="01CD1D85" w14:textId="77777777" w:rsidR="000B5895" w:rsidRPr="007B3A4C" w:rsidRDefault="00000000">
      <w:pPr>
        <w:ind w:left="270"/>
        <w:rPr>
          <w:sz w:val="24"/>
          <w:szCs w:val="24"/>
        </w:rPr>
      </w:pPr>
      <w:r w:rsidRPr="007B3A4C">
        <w:rPr>
          <w:sz w:val="24"/>
          <w:szCs w:val="24"/>
        </w:rPr>
        <w:t>Dr. Sanjay Kalra – ALS, ALS imaging</w:t>
      </w:r>
    </w:p>
    <w:p w14:paraId="34F23A74" w14:textId="68861AE7" w:rsidR="000B5895" w:rsidRPr="007B3A4C" w:rsidRDefault="00000000">
      <w:pPr>
        <w:spacing w:before="240" w:after="240" w:line="259" w:lineRule="auto"/>
        <w:ind w:left="270"/>
        <w:rPr>
          <w:sz w:val="24"/>
          <w:szCs w:val="24"/>
        </w:rPr>
      </w:pPr>
      <w:r w:rsidRPr="007B3A4C">
        <w:rPr>
          <w:sz w:val="24"/>
          <w:szCs w:val="24"/>
        </w:rPr>
        <w:t xml:space="preserve">The academic year is divided into </w:t>
      </w:r>
      <w:r w:rsidR="007B3A4C" w:rsidRPr="007B3A4C">
        <w:rPr>
          <w:sz w:val="24"/>
          <w:szCs w:val="24"/>
        </w:rPr>
        <w:t>3-</w:t>
      </w:r>
      <w:r w:rsidRPr="007B3A4C">
        <w:rPr>
          <w:sz w:val="24"/>
          <w:szCs w:val="24"/>
        </w:rPr>
        <w:t>blocks as followed:</w:t>
      </w:r>
    </w:p>
    <w:p w14:paraId="4BB94464" w14:textId="2B8479F8" w:rsidR="000B5895" w:rsidRPr="007B3A4C" w:rsidRDefault="00000000">
      <w:pPr>
        <w:spacing w:before="240" w:after="240" w:line="259" w:lineRule="auto"/>
        <w:ind w:left="270"/>
        <w:rPr>
          <w:sz w:val="24"/>
          <w:szCs w:val="24"/>
        </w:rPr>
      </w:pPr>
      <w:r w:rsidRPr="007B3A4C">
        <w:rPr>
          <w:sz w:val="24"/>
          <w:szCs w:val="24"/>
        </w:rPr>
        <w:t>First block</w:t>
      </w:r>
      <w:r w:rsidR="007B3A4C" w:rsidRPr="007B3A4C">
        <w:rPr>
          <w:sz w:val="24"/>
          <w:szCs w:val="24"/>
        </w:rPr>
        <w:t xml:space="preserve"> (3 month duration)</w:t>
      </w:r>
      <w:r w:rsidRPr="007B3A4C">
        <w:rPr>
          <w:sz w:val="24"/>
          <w:szCs w:val="24"/>
        </w:rPr>
        <w:t>:</w:t>
      </w:r>
    </w:p>
    <w:p w14:paraId="1D818F6A" w14:textId="77777777" w:rsidR="000B5895" w:rsidRPr="007B3A4C" w:rsidRDefault="00000000">
      <w:pPr>
        <w:numPr>
          <w:ilvl w:val="0"/>
          <w:numId w:val="2"/>
        </w:numPr>
        <w:spacing w:before="240" w:after="240" w:line="259" w:lineRule="auto"/>
        <w:rPr>
          <w:sz w:val="24"/>
          <w:szCs w:val="24"/>
        </w:rPr>
      </w:pPr>
      <w:r w:rsidRPr="007B3A4C">
        <w:rPr>
          <w:sz w:val="24"/>
          <w:szCs w:val="24"/>
        </w:rPr>
        <w:t xml:space="preserve">Entire block will be spent in the EMG clinic to rapidly gain the skills to perform nerve conductions and electromyography under supervision.  A substantial number of </w:t>
      </w:r>
      <w:r w:rsidRPr="007B3A4C">
        <w:rPr>
          <w:sz w:val="24"/>
          <w:szCs w:val="24"/>
        </w:rPr>
        <w:lastRenderedPageBreak/>
        <w:t>neuromuscular patients are also seen in EMG clinics for initial workup and diagnosis, hence neuromuscular training is inherently incorporated in the first block.</w:t>
      </w:r>
    </w:p>
    <w:p w14:paraId="0E679C3E" w14:textId="77777777" w:rsidR="000B5895" w:rsidRPr="007B3A4C" w:rsidRDefault="000B5895">
      <w:pPr>
        <w:spacing w:before="240" w:after="240" w:line="259" w:lineRule="auto"/>
        <w:ind w:left="270"/>
        <w:rPr>
          <w:sz w:val="24"/>
          <w:szCs w:val="24"/>
        </w:rPr>
      </w:pPr>
    </w:p>
    <w:p w14:paraId="37E1BBFC" w14:textId="77777777" w:rsidR="000B5895" w:rsidRPr="007B3A4C" w:rsidRDefault="000B5895">
      <w:pPr>
        <w:spacing w:before="240" w:after="240" w:line="259" w:lineRule="auto"/>
        <w:ind w:left="270"/>
        <w:rPr>
          <w:sz w:val="24"/>
          <w:szCs w:val="24"/>
        </w:rPr>
      </w:pPr>
    </w:p>
    <w:p w14:paraId="69F574A2" w14:textId="77777777" w:rsidR="000B5895" w:rsidRPr="007B3A4C" w:rsidRDefault="000B5895">
      <w:pPr>
        <w:spacing w:before="240" w:after="240" w:line="259" w:lineRule="auto"/>
        <w:ind w:left="270"/>
        <w:rPr>
          <w:sz w:val="24"/>
          <w:szCs w:val="24"/>
        </w:rPr>
      </w:pPr>
    </w:p>
    <w:p w14:paraId="08884CA3" w14:textId="77777777" w:rsidR="000B5895" w:rsidRPr="007B3A4C" w:rsidRDefault="000B5895">
      <w:pPr>
        <w:spacing w:before="240" w:after="240" w:line="259" w:lineRule="auto"/>
        <w:ind w:left="270"/>
        <w:rPr>
          <w:sz w:val="24"/>
          <w:szCs w:val="24"/>
        </w:rPr>
      </w:pPr>
    </w:p>
    <w:p w14:paraId="6FF0BE43" w14:textId="77777777" w:rsidR="000B5895" w:rsidRPr="007B3A4C" w:rsidRDefault="000B5895">
      <w:pPr>
        <w:spacing w:before="240" w:after="240" w:line="259" w:lineRule="auto"/>
        <w:ind w:left="270"/>
        <w:rPr>
          <w:sz w:val="24"/>
          <w:szCs w:val="24"/>
        </w:rPr>
      </w:pPr>
    </w:p>
    <w:p w14:paraId="01C00143" w14:textId="1AF8BC87" w:rsidR="000B5895" w:rsidRPr="007B3A4C" w:rsidRDefault="00000000">
      <w:pPr>
        <w:spacing w:before="240" w:after="240" w:line="259" w:lineRule="auto"/>
        <w:ind w:left="270"/>
        <w:rPr>
          <w:sz w:val="24"/>
          <w:szCs w:val="24"/>
        </w:rPr>
      </w:pPr>
      <w:r w:rsidRPr="007B3A4C">
        <w:rPr>
          <w:sz w:val="24"/>
          <w:szCs w:val="24"/>
        </w:rPr>
        <w:t xml:space="preserve">Second block </w:t>
      </w:r>
      <w:r w:rsidR="007B3A4C" w:rsidRPr="007B3A4C">
        <w:rPr>
          <w:sz w:val="24"/>
          <w:szCs w:val="24"/>
        </w:rPr>
        <w:t>(3 month duration). Below is a sample of weekly clinic schedule</w:t>
      </w:r>
      <w:r w:rsidRPr="007B3A4C">
        <w:rPr>
          <w:sz w:val="24"/>
          <w:szCs w:val="24"/>
        </w:rPr>
        <w:t>:</w:t>
      </w:r>
    </w:p>
    <w:p w14:paraId="3DFD10A0" w14:textId="38E56E6D" w:rsidR="000B5895" w:rsidRPr="007B3A4C" w:rsidRDefault="00000000">
      <w:pPr>
        <w:numPr>
          <w:ilvl w:val="0"/>
          <w:numId w:val="4"/>
        </w:numPr>
        <w:spacing w:before="240" w:line="259" w:lineRule="auto"/>
        <w:rPr>
          <w:sz w:val="24"/>
          <w:szCs w:val="24"/>
        </w:rPr>
      </w:pPr>
      <w:r w:rsidRPr="007B3A4C">
        <w:rPr>
          <w:sz w:val="24"/>
          <w:szCs w:val="24"/>
        </w:rPr>
        <w:t xml:space="preserve">3 half days of Neuromuscular clinics </w:t>
      </w:r>
    </w:p>
    <w:p w14:paraId="3073A731" w14:textId="77777777" w:rsidR="000B5895" w:rsidRPr="007B3A4C" w:rsidRDefault="00000000">
      <w:pPr>
        <w:numPr>
          <w:ilvl w:val="0"/>
          <w:numId w:val="4"/>
        </w:numPr>
        <w:spacing w:line="259" w:lineRule="auto"/>
        <w:rPr>
          <w:sz w:val="24"/>
          <w:szCs w:val="24"/>
        </w:rPr>
      </w:pPr>
      <w:r w:rsidRPr="007B3A4C">
        <w:rPr>
          <w:sz w:val="24"/>
          <w:szCs w:val="24"/>
        </w:rPr>
        <w:t>3 half days of EMG clinics</w:t>
      </w:r>
    </w:p>
    <w:p w14:paraId="5FE1BDD8" w14:textId="77777777" w:rsidR="000B5895" w:rsidRPr="007B3A4C" w:rsidRDefault="00000000">
      <w:pPr>
        <w:numPr>
          <w:ilvl w:val="0"/>
          <w:numId w:val="4"/>
        </w:numPr>
        <w:spacing w:line="259" w:lineRule="auto"/>
        <w:rPr>
          <w:sz w:val="24"/>
          <w:szCs w:val="24"/>
        </w:rPr>
      </w:pPr>
      <w:r w:rsidRPr="007B3A4C">
        <w:rPr>
          <w:sz w:val="24"/>
          <w:szCs w:val="24"/>
        </w:rPr>
        <w:t xml:space="preserve"> 1 half day alternating between Neuromuscular Multidisciplinary and ALS clinics</w:t>
      </w:r>
    </w:p>
    <w:p w14:paraId="723CE666" w14:textId="6D924C12" w:rsidR="000B5895" w:rsidRPr="007B3A4C" w:rsidRDefault="00000000">
      <w:pPr>
        <w:numPr>
          <w:ilvl w:val="0"/>
          <w:numId w:val="4"/>
        </w:numPr>
        <w:spacing w:after="240" w:line="259" w:lineRule="auto"/>
        <w:rPr>
          <w:sz w:val="24"/>
          <w:szCs w:val="24"/>
        </w:rPr>
      </w:pPr>
      <w:r w:rsidRPr="007B3A4C">
        <w:rPr>
          <w:sz w:val="24"/>
          <w:szCs w:val="24"/>
        </w:rPr>
        <w:t xml:space="preserve">Additional clinical experience in peripheral nerve ultrasound, muscle/nerve biopsies, </w:t>
      </w:r>
      <w:r w:rsidR="007B3A4C" w:rsidRPr="007B3A4C">
        <w:rPr>
          <w:sz w:val="24"/>
          <w:szCs w:val="24"/>
        </w:rPr>
        <w:t xml:space="preserve">neuromuscular pathology, </w:t>
      </w:r>
      <w:r w:rsidRPr="007B3A4C">
        <w:rPr>
          <w:sz w:val="24"/>
          <w:szCs w:val="24"/>
        </w:rPr>
        <w:t>single fiber EMG are encouraged</w:t>
      </w:r>
    </w:p>
    <w:p w14:paraId="255FDC94" w14:textId="0C74BFBA" w:rsidR="000B5895" w:rsidRPr="007B3A4C" w:rsidRDefault="00000000">
      <w:pPr>
        <w:spacing w:before="240" w:after="240" w:line="259" w:lineRule="auto"/>
        <w:ind w:left="270"/>
        <w:rPr>
          <w:sz w:val="24"/>
          <w:szCs w:val="24"/>
        </w:rPr>
      </w:pPr>
      <w:r w:rsidRPr="007B3A4C">
        <w:rPr>
          <w:sz w:val="24"/>
          <w:szCs w:val="24"/>
        </w:rPr>
        <w:t xml:space="preserve">Third block </w:t>
      </w:r>
      <w:r w:rsidR="007B3A4C" w:rsidRPr="007B3A4C">
        <w:rPr>
          <w:sz w:val="24"/>
          <w:szCs w:val="24"/>
        </w:rPr>
        <w:t>(6 month duration</w:t>
      </w:r>
      <w:r w:rsidRPr="007B3A4C">
        <w:rPr>
          <w:sz w:val="24"/>
          <w:szCs w:val="24"/>
        </w:rPr>
        <w:t>):</w:t>
      </w:r>
      <w:r w:rsidR="007B3A4C" w:rsidRPr="007B3A4C">
        <w:rPr>
          <w:sz w:val="24"/>
          <w:szCs w:val="24"/>
        </w:rPr>
        <w:t xml:space="preserve"> Below is a sample of weekly clinic schedule:</w:t>
      </w:r>
    </w:p>
    <w:p w14:paraId="699DE777" w14:textId="20DD023F" w:rsidR="000B5895" w:rsidRPr="007B3A4C" w:rsidRDefault="007B3A4C">
      <w:pPr>
        <w:numPr>
          <w:ilvl w:val="0"/>
          <w:numId w:val="5"/>
        </w:numPr>
        <w:spacing w:before="240" w:line="259" w:lineRule="auto"/>
        <w:rPr>
          <w:sz w:val="24"/>
          <w:szCs w:val="24"/>
        </w:rPr>
      </w:pPr>
      <w:r w:rsidRPr="007B3A4C">
        <w:rPr>
          <w:sz w:val="24"/>
          <w:szCs w:val="24"/>
        </w:rPr>
        <w:t>4</w:t>
      </w:r>
      <w:r w:rsidR="008B26D9" w:rsidRPr="007B3A4C">
        <w:rPr>
          <w:sz w:val="24"/>
          <w:szCs w:val="24"/>
        </w:rPr>
        <w:t xml:space="preserve"> half days of Neuromuscular clinics</w:t>
      </w:r>
      <w:r w:rsidRPr="007B3A4C">
        <w:rPr>
          <w:sz w:val="24"/>
          <w:szCs w:val="24"/>
        </w:rPr>
        <w:t xml:space="preserve"> (with option to attend more Neuromuscular Multidisciplinary, ALS or biopsy clinics depending on interest)</w:t>
      </w:r>
    </w:p>
    <w:p w14:paraId="69C5A7EE" w14:textId="453F4277" w:rsidR="000B5895" w:rsidRPr="007B3A4C" w:rsidRDefault="008B26D9">
      <w:pPr>
        <w:numPr>
          <w:ilvl w:val="0"/>
          <w:numId w:val="5"/>
        </w:numPr>
        <w:spacing w:line="259" w:lineRule="auto"/>
        <w:rPr>
          <w:sz w:val="24"/>
          <w:szCs w:val="24"/>
        </w:rPr>
      </w:pPr>
      <w:r w:rsidRPr="007B3A4C">
        <w:rPr>
          <w:sz w:val="24"/>
          <w:szCs w:val="24"/>
        </w:rPr>
        <w:t>1 half day of Longitudinal Continuity Clinic</w:t>
      </w:r>
    </w:p>
    <w:p w14:paraId="62A69093" w14:textId="2EA93C2E" w:rsidR="000B5895" w:rsidRPr="007B3A4C" w:rsidRDefault="00000000" w:rsidP="007B3A4C">
      <w:pPr>
        <w:numPr>
          <w:ilvl w:val="0"/>
          <w:numId w:val="5"/>
        </w:numPr>
        <w:spacing w:line="259" w:lineRule="auto"/>
        <w:rPr>
          <w:sz w:val="24"/>
          <w:szCs w:val="24"/>
        </w:rPr>
      </w:pPr>
      <w:r w:rsidRPr="007B3A4C">
        <w:rPr>
          <w:sz w:val="24"/>
          <w:szCs w:val="24"/>
        </w:rPr>
        <w:t>2 half days of EMG clinics</w:t>
      </w:r>
    </w:p>
    <w:p w14:paraId="42A47BB7" w14:textId="3AFDB842" w:rsidR="000B5895" w:rsidRPr="007B3A4C" w:rsidRDefault="00000000" w:rsidP="007B3A4C">
      <w:pPr>
        <w:spacing w:before="240" w:after="240" w:line="259" w:lineRule="auto"/>
        <w:ind w:left="270"/>
        <w:rPr>
          <w:sz w:val="24"/>
          <w:szCs w:val="24"/>
        </w:rPr>
      </w:pPr>
      <w:r w:rsidRPr="007B3A4C">
        <w:rPr>
          <w:sz w:val="24"/>
          <w:szCs w:val="24"/>
        </w:rPr>
        <w:t>It is expected that the fellow will be doing at least 400 EMG studies during the 1-year fellowship The fellow is responsible for keeping track of the number and type of EMG performed to ensure a wide variety of EMG cases are seen including radiculopathies, peripheral nerves entrapment, plexopathies, acute and chronic peripheral neuropathies, neuromuscular junction disorders, motor neuron disorders, and myopathic disorders.</w:t>
      </w:r>
    </w:p>
    <w:p w14:paraId="3B2AE0CA" w14:textId="77777777" w:rsidR="000B5895" w:rsidRPr="007B3A4C" w:rsidRDefault="00000000">
      <w:pPr>
        <w:spacing w:before="240" w:after="240" w:line="259" w:lineRule="auto"/>
        <w:ind w:left="270"/>
        <w:rPr>
          <w:b/>
          <w:sz w:val="24"/>
          <w:szCs w:val="24"/>
        </w:rPr>
      </w:pPr>
      <w:r w:rsidRPr="007B3A4C">
        <w:rPr>
          <w:b/>
          <w:sz w:val="24"/>
          <w:szCs w:val="24"/>
        </w:rPr>
        <w:t>Longitudinal clinic:</w:t>
      </w:r>
    </w:p>
    <w:p w14:paraId="76FE7FE5" w14:textId="3BA82C3B" w:rsidR="000B5895" w:rsidRPr="007B3A4C" w:rsidRDefault="00000000">
      <w:pPr>
        <w:spacing w:before="240" w:after="240" w:line="259" w:lineRule="auto"/>
        <w:ind w:left="270"/>
        <w:rPr>
          <w:sz w:val="24"/>
          <w:szCs w:val="24"/>
        </w:rPr>
      </w:pPr>
      <w:r w:rsidRPr="007B3A4C">
        <w:rPr>
          <w:sz w:val="24"/>
          <w:szCs w:val="24"/>
        </w:rPr>
        <w:t>During the last 6 months of the fellowship, the fellow will have a</w:t>
      </w:r>
      <w:r w:rsidR="008B26D9" w:rsidRPr="007B3A4C">
        <w:rPr>
          <w:sz w:val="24"/>
          <w:szCs w:val="24"/>
        </w:rPr>
        <w:t xml:space="preserve"> half day</w:t>
      </w:r>
      <w:r w:rsidRPr="007B3A4C">
        <w:rPr>
          <w:b/>
          <w:sz w:val="24"/>
          <w:szCs w:val="24"/>
        </w:rPr>
        <w:t xml:space="preserve"> </w:t>
      </w:r>
      <w:r w:rsidRPr="007B3A4C">
        <w:rPr>
          <w:b/>
          <w:sz w:val="24"/>
          <w:szCs w:val="24"/>
          <w:u w:val="single"/>
        </w:rPr>
        <w:t>longitudinal neuromuscular continuity clinic</w:t>
      </w:r>
      <w:r w:rsidR="008B26D9" w:rsidRPr="007B3A4C">
        <w:rPr>
          <w:b/>
          <w:sz w:val="24"/>
          <w:szCs w:val="24"/>
          <w:u w:val="single"/>
        </w:rPr>
        <w:t xml:space="preserve"> every week</w:t>
      </w:r>
      <w:r w:rsidRPr="007B3A4C">
        <w:rPr>
          <w:b/>
          <w:sz w:val="24"/>
          <w:szCs w:val="24"/>
        </w:rPr>
        <w:t xml:space="preserve"> </w:t>
      </w:r>
      <w:r w:rsidRPr="007B3A4C">
        <w:rPr>
          <w:sz w:val="24"/>
          <w:szCs w:val="24"/>
        </w:rPr>
        <w:t xml:space="preserve">. The clinic is designed for the fellow to have the experience of following their own patients from the initial point of diagnosis to planning/providing ongoing treatment, monitoring progress until the patient is ready to be discharged from the clinic. </w:t>
      </w:r>
    </w:p>
    <w:p w14:paraId="4F868B5F" w14:textId="77777777" w:rsidR="000B5895" w:rsidRPr="007B3A4C" w:rsidRDefault="00000000" w:rsidP="007B3A4C">
      <w:pPr>
        <w:spacing w:before="240" w:after="240" w:line="259" w:lineRule="auto"/>
        <w:ind w:firstLine="270"/>
        <w:rPr>
          <w:b/>
          <w:sz w:val="24"/>
          <w:szCs w:val="24"/>
        </w:rPr>
      </w:pPr>
      <w:r w:rsidRPr="007B3A4C">
        <w:rPr>
          <w:b/>
          <w:sz w:val="24"/>
          <w:szCs w:val="24"/>
        </w:rPr>
        <w:t>Clinical Training (Inpatient)</w:t>
      </w:r>
    </w:p>
    <w:p w14:paraId="24AAB4E2" w14:textId="77777777" w:rsidR="007B3A4C" w:rsidRDefault="00000000">
      <w:pPr>
        <w:spacing w:before="240" w:after="240" w:line="259" w:lineRule="auto"/>
        <w:ind w:left="270"/>
        <w:rPr>
          <w:sz w:val="24"/>
          <w:szCs w:val="24"/>
        </w:rPr>
      </w:pPr>
      <w:r w:rsidRPr="007B3A4C">
        <w:rPr>
          <w:sz w:val="24"/>
          <w:szCs w:val="24"/>
        </w:rPr>
        <w:t xml:space="preserve">We offer an inpatient adult neuromuscular consultation and EMG service. The fellow is responsible for seeing any inpatient neuromuscular consultation from the ward and discusses with the attending </w:t>
      </w:r>
      <w:r w:rsidR="008B26D9" w:rsidRPr="007B3A4C">
        <w:rPr>
          <w:sz w:val="24"/>
          <w:szCs w:val="24"/>
        </w:rPr>
        <w:t>staffing that patient</w:t>
      </w:r>
      <w:r w:rsidRPr="007B3A4C">
        <w:rPr>
          <w:sz w:val="24"/>
          <w:szCs w:val="24"/>
        </w:rPr>
        <w:t xml:space="preserve">. The fellow is also responsible for follow </w:t>
      </w:r>
    </w:p>
    <w:p w14:paraId="04DD59A5" w14:textId="77777777" w:rsidR="007B3A4C" w:rsidRDefault="007B3A4C">
      <w:pPr>
        <w:spacing w:before="240" w:after="240" w:line="259" w:lineRule="auto"/>
        <w:ind w:left="270"/>
        <w:rPr>
          <w:sz w:val="24"/>
          <w:szCs w:val="24"/>
        </w:rPr>
      </w:pPr>
    </w:p>
    <w:p w14:paraId="2804A453" w14:textId="77777777" w:rsidR="007B3A4C" w:rsidRDefault="007B3A4C">
      <w:pPr>
        <w:spacing w:before="240" w:after="240" w:line="259" w:lineRule="auto"/>
        <w:ind w:left="270"/>
        <w:rPr>
          <w:sz w:val="24"/>
          <w:szCs w:val="24"/>
        </w:rPr>
      </w:pPr>
    </w:p>
    <w:p w14:paraId="779D938D" w14:textId="3AC4B947" w:rsidR="000B5895" w:rsidRPr="007B3A4C" w:rsidRDefault="00000000">
      <w:pPr>
        <w:spacing w:before="240" w:after="240" w:line="259" w:lineRule="auto"/>
        <w:ind w:left="270"/>
        <w:rPr>
          <w:sz w:val="24"/>
          <w:szCs w:val="24"/>
        </w:rPr>
      </w:pPr>
      <w:r w:rsidRPr="007B3A4C">
        <w:rPr>
          <w:sz w:val="24"/>
          <w:szCs w:val="24"/>
        </w:rPr>
        <w:t>up visits until neuromuscular service signs off. Inpatient EMG will also be seen primarily by the fellow when the referral is received on the day the fellow is in the EMG clinic.</w:t>
      </w:r>
    </w:p>
    <w:p w14:paraId="73327278" w14:textId="77777777" w:rsidR="000B5895" w:rsidRPr="007B3A4C" w:rsidRDefault="00000000">
      <w:pPr>
        <w:spacing w:before="240" w:after="240" w:line="259" w:lineRule="auto"/>
        <w:ind w:left="270"/>
        <w:rPr>
          <w:b/>
          <w:sz w:val="24"/>
          <w:szCs w:val="24"/>
        </w:rPr>
      </w:pPr>
      <w:r w:rsidRPr="007B3A4C">
        <w:rPr>
          <w:b/>
          <w:sz w:val="24"/>
          <w:szCs w:val="24"/>
        </w:rPr>
        <w:t>Research:</w:t>
      </w:r>
    </w:p>
    <w:p w14:paraId="715E5529" w14:textId="77777777" w:rsidR="000B5895" w:rsidRPr="007B3A4C" w:rsidRDefault="00000000">
      <w:pPr>
        <w:spacing w:before="240" w:after="240" w:line="259" w:lineRule="auto"/>
        <w:ind w:left="270"/>
        <w:rPr>
          <w:sz w:val="24"/>
          <w:szCs w:val="24"/>
        </w:rPr>
      </w:pPr>
      <w:r w:rsidRPr="007B3A4C">
        <w:rPr>
          <w:sz w:val="24"/>
          <w:szCs w:val="24"/>
        </w:rPr>
        <w:t xml:space="preserve">The candidate is expected to complete a short clinical or quality improvement project, and is encouraged to pursue additional opportunities for presentations and publications. </w:t>
      </w:r>
    </w:p>
    <w:p w14:paraId="18A56D1F" w14:textId="76ED5A74" w:rsidR="007B3A4C" w:rsidRPr="007B3A4C" w:rsidRDefault="007B3A4C" w:rsidP="007B3A4C">
      <w:pPr>
        <w:spacing w:before="240" w:after="240" w:line="259" w:lineRule="auto"/>
        <w:ind w:firstLine="270"/>
        <w:rPr>
          <w:b/>
          <w:bCs/>
          <w:sz w:val="24"/>
          <w:szCs w:val="24"/>
        </w:rPr>
      </w:pPr>
      <w:r w:rsidRPr="007B3A4C">
        <w:rPr>
          <w:b/>
          <w:bCs/>
          <w:sz w:val="24"/>
          <w:szCs w:val="24"/>
        </w:rPr>
        <w:t>Funding:</w:t>
      </w:r>
    </w:p>
    <w:p w14:paraId="24E164CB" w14:textId="2113015B" w:rsidR="007B3A4C" w:rsidRPr="007B3A4C" w:rsidRDefault="007B3A4C" w:rsidP="007B3A4C">
      <w:pPr>
        <w:spacing w:before="240" w:after="240" w:line="259" w:lineRule="auto"/>
        <w:ind w:firstLine="270"/>
        <w:rPr>
          <w:sz w:val="24"/>
          <w:szCs w:val="24"/>
        </w:rPr>
      </w:pPr>
      <w:r w:rsidRPr="007B3A4C">
        <w:rPr>
          <w:sz w:val="24"/>
          <w:szCs w:val="24"/>
        </w:rPr>
        <w:t xml:space="preserve">The position is fully funded at salary of $80000 per year </w:t>
      </w:r>
    </w:p>
    <w:p w14:paraId="77A96DDB" w14:textId="77777777" w:rsidR="007B3A4C" w:rsidRPr="007B3A4C" w:rsidRDefault="007B3A4C" w:rsidP="007B3A4C">
      <w:pPr>
        <w:spacing w:before="240" w:after="240" w:line="259" w:lineRule="auto"/>
        <w:ind w:firstLine="270"/>
        <w:rPr>
          <w:b/>
          <w:bCs/>
          <w:sz w:val="24"/>
          <w:szCs w:val="24"/>
        </w:rPr>
      </w:pPr>
    </w:p>
    <w:p w14:paraId="247436A1" w14:textId="77777777" w:rsidR="007B3A4C" w:rsidRPr="007B3A4C" w:rsidRDefault="007B3A4C" w:rsidP="007B3A4C">
      <w:pPr>
        <w:spacing w:before="240" w:after="240" w:line="259" w:lineRule="auto"/>
        <w:ind w:firstLine="270"/>
        <w:rPr>
          <w:b/>
          <w:bCs/>
          <w:sz w:val="24"/>
          <w:szCs w:val="24"/>
        </w:rPr>
      </w:pPr>
    </w:p>
    <w:p w14:paraId="5FABCBC3" w14:textId="39E86B96" w:rsidR="007B3A4C" w:rsidRPr="007B3A4C" w:rsidRDefault="007B3A4C" w:rsidP="007B3A4C">
      <w:pPr>
        <w:spacing w:before="240" w:after="240" w:line="259" w:lineRule="auto"/>
        <w:ind w:firstLine="270"/>
        <w:rPr>
          <w:b/>
          <w:bCs/>
          <w:sz w:val="24"/>
          <w:szCs w:val="24"/>
        </w:rPr>
      </w:pPr>
      <w:r w:rsidRPr="007B3A4C">
        <w:rPr>
          <w:b/>
          <w:bCs/>
          <w:sz w:val="24"/>
          <w:szCs w:val="24"/>
        </w:rPr>
        <w:t>Vacation and CME:</w:t>
      </w:r>
    </w:p>
    <w:p w14:paraId="2679F1C4" w14:textId="7A662544" w:rsidR="007B3A4C" w:rsidRPr="007B3A4C" w:rsidRDefault="007B3A4C" w:rsidP="007B3A4C">
      <w:pPr>
        <w:spacing w:before="240" w:after="240" w:line="259" w:lineRule="auto"/>
        <w:ind w:firstLine="270"/>
        <w:rPr>
          <w:sz w:val="24"/>
          <w:szCs w:val="24"/>
        </w:rPr>
      </w:pPr>
      <w:r w:rsidRPr="007B3A4C">
        <w:rPr>
          <w:sz w:val="24"/>
          <w:szCs w:val="24"/>
        </w:rPr>
        <w:t xml:space="preserve">4 weeks of vacation and 2 weeks of CME per academic year. </w:t>
      </w:r>
    </w:p>
    <w:p w14:paraId="53B7C196" w14:textId="469714EB" w:rsidR="007B3A4C" w:rsidRPr="007B3A4C" w:rsidRDefault="007B3A4C" w:rsidP="007B3A4C">
      <w:pPr>
        <w:spacing w:before="240" w:after="240" w:line="259" w:lineRule="auto"/>
        <w:ind w:firstLine="270"/>
        <w:rPr>
          <w:sz w:val="24"/>
          <w:szCs w:val="24"/>
        </w:rPr>
      </w:pPr>
      <w:r w:rsidRPr="007B3A4C">
        <w:rPr>
          <w:sz w:val="24"/>
          <w:szCs w:val="24"/>
        </w:rPr>
        <w:t>$1000 of CME stipend per fellow per year.</w:t>
      </w:r>
    </w:p>
    <w:p w14:paraId="7F1C5533" w14:textId="3E857389" w:rsidR="007B3A4C" w:rsidRPr="007B3A4C" w:rsidRDefault="007B3A4C" w:rsidP="007B3A4C">
      <w:pPr>
        <w:spacing w:before="240" w:after="240" w:line="259" w:lineRule="auto"/>
      </w:pPr>
    </w:p>
    <w:p w14:paraId="4AF5F191" w14:textId="77777777" w:rsidR="000B5895" w:rsidRDefault="000B5895">
      <w:pPr>
        <w:spacing w:line="259" w:lineRule="auto"/>
        <w:ind w:left="270"/>
      </w:pPr>
    </w:p>
    <w:p w14:paraId="58412243" w14:textId="77777777" w:rsidR="000B5895" w:rsidRDefault="000B5895">
      <w:pPr>
        <w:spacing w:line="259" w:lineRule="auto"/>
        <w:ind w:left="270"/>
      </w:pPr>
    </w:p>
    <w:p w14:paraId="55CC5555" w14:textId="77777777" w:rsidR="000B5895" w:rsidRDefault="000B5895">
      <w:pPr>
        <w:spacing w:line="259" w:lineRule="auto"/>
        <w:ind w:left="270"/>
      </w:pPr>
    </w:p>
    <w:p w14:paraId="1AF2746C" w14:textId="77777777" w:rsidR="000B5895" w:rsidRDefault="000B5895">
      <w:pPr>
        <w:spacing w:line="259" w:lineRule="auto"/>
        <w:ind w:left="270"/>
      </w:pPr>
    </w:p>
    <w:p w14:paraId="62692534" w14:textId="77777777" w:rsidR="000B5895" w:rsidRDefault="000B5895">
      <w:pPr>
        <w:spacing w:line="259" w:lineRule="auto"/>
        <w:ind w:left="270"/>
      </w:pPr>
    </w:p>
    <w:p w14:paraId="76C53126" w14:textId="77777777" w:rsidR="000B5895" w:rsidRDefault="000B5895">
      <w:pPr>
        <w:spacing w:line="259" w:lineRule="auto"/>
        <w:ind w:left="270"/>
      </w:pPr>
    </w:p>
    <w:p w14:paraId="05FB8947" w14:textId="77777777" w:rsidR="000B5895" w:rsidRDefault="000B5895">
      <w:pPr>
        <w:spacing w:line="259" w:lineRule="auto"/>
        <w:ind w:left="270"/>
      </w:pPr>
    </w:p>
    <w:p w14:paraId="1DCE0FAF" w14:textId="77777777" w:rsidR="000B5895" w:rsidRDefault="000B5895">
      <w:pPr>
        <w:spacing w:line="259" w:lineRule="auto"/>
        <w:ind w:left="270"/>
      </w:pPr>
    </w:p>
    <w:p w14:paraId="053C6A78" w14:textId="77777777" w:rsidR="000B5895" w:rsidRDefault="000B5895">
      <w:pPr>
        <w:widowControl w:val="0"/>
        <w:spacing w:before="19"/>
        <w:ind w:left="270"/>
      </w:pPr>
      <w:bookmarkStart w:id="0" w:name="_heading=h.tyjcwt" w:colFirst="0" w:colLast="0"/>
      <w:bookmarkEnd w:id="0"/>
    </w:p>
    <w:p w14:paraId="79CD326A" w14:textId="77777777" w:rsidR="000B5895" w:rsidRDefault="000B5895">
      <w:pPr>
        <w:widowControl w:val="0"/>
        <w:spacing w:before="19"/>
      </w:pPr>
      <w:bookmarkStart w:id="1" w:name="_heading=h.1t3h5sf" w:colFirst="0" w:colLast="0"/>
      <w:bookmarkEnd w:id="1"/>
    </w:p>
    <w:p w14:paraId="50140EE2" w14:textId="77777777" w:rsidR="000B5895" w:rsidRDefault="000B5895">
      <w:pPr>
        <w:widowControl w:val="0"/>
        <w:spacing w:before="19"/>
      </w:pPr>
      <w:bookmarkStart w:id="2" w:name="_heading=h.4d34og8" w:colFirst="0" w:colLast="0"/>
      <w:bookmarkEnd w:id="2"/>
    </w:p>
    <w:p w14:paraId="2C8BD00A" w14:textId="77777777" w:rsidR="000B5895" w:rsidRDefault="000B5895">
      <w:pPr>
        <w:widowControl w:val="0"/>
        <w:spacing w:before="19"/>
        <w:rPr>
          <w:sz w:val="18"/>
          <w:szCs w:val="18"/>
        </w:rPr>
      </w:pPr>
      <w:bookmarkStart w:id="3" w:name="_heading=h.2s8eyo1" w:colFirst="0" w:colLast="0"/>
      <w:bookmarkEnd w:id="3"/>
    </w:p>
    <w:p w14:paraId="0AB8E49B" w14:textId="77777777" w:rsidR="000B5895" w:rsidRDefault="000B5895">
      <w:pPr>
        <w:widowControl w:val="0"/>
        <w:spacing w:before="19"/>
        <w:ind w:left="270"/>
      </w:pPr>
    </w:p>
    <w:p w14:paraId="7226C108" w14:textId="77777777" w:rsidR="000B5895" w:rsidRDefault="000B5895">
      <w:pPr>
        <w:widowControl w:val="0"/>
        <w:spacing w:before="19"/>
      </w:pPr>
      <w:bookmarkStart w:id="4" w:name="_heading=h.17dp8vu" w:colFirst="0" w:colLast="0"/>
      <w:bookmarkEnd w:id="4"/>
    </w:p>
    <w:p w14:paraId="53C84EFC" w14:textId="77777777" w:rsidR="000B5895" w:rsidRDefault="000B5895">
      <w:pPr>
        <w:spacing w:line="259" w:lineRule="auto"/>
      </w:pPr>
    </w:p>
    <w:p w14:paraId="468AF5C9" w14:textId="77777777" w:rsidR="000B5895" w:rsidRDefault="000B5895">
      <w:pPr>
        <w:spacing w:line="259" w:lineRule="auto"/>
      </w:pPr>
    </w:p>
    <w:sectPr w:rsidR="000B5895">
      <w:headerReference w:type="default" r:id="rId8"/>
      <w:footerReference w:type="default" r:id="rId9"/>
      <w:headerReference w:type="first" r:id="rId10"/>
      <w:footerReference w:type="first" r:id="rId11"/>
      <w:pgSz w:w="12240" w:h="15840"/>
      <w:pgMar w:top="720" w:right="1152" w:bottom="720" w:left="990" w:header="0"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C79A" w14:textId="77777777" w:rsidR="008D6287" w:rsidRDefault="008D6287">
      <w:r>
        <w:separator/>
      </w:r>
    </w:p>
  </w:endnote>
  <w:endnote w:type="continuationSeparator" w:id="0">
    <w:p w14:paraId="5BDA9ECA" w14:textId="77777777" w:rsidR="008D6287" w:rsidRDefault="008D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790F" w14:textId="77777777" w:rsidR="000B5895" w:rsidRDefault="00000000">
    <w:pPr>
      <w:pBdr>
        <w:top w:val="nil"/>
        <w:left w:val="nil"/>
        <w:bottom w:val="nil"/>
        <w:right w:val="nil"/>
        <w:between w:val="nil"/>
      </w:pBdr>
      <w:tabs>
        <w:tab w:val="center" w:pos="4680"/>
        <w:tab w:val="right" w:pos="9360"/>
      </w:tabs>
      <w:ind w:left="-187"/>
      <w:jc w:val="right"/>
      <w:rPr>
        <w:color w:val="000000"/>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8B26D9">
      <w:rPr>
        <w:b/>
        <w:noProof/>
        <w:color w:val="000000"/>
        <w:sz w:val="16"/>
        <w:szCs w:val="16"/>
      </w:rPr>
      <w:t>2</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8B26D9">
      <w:rPr>
        <w:b/>
        <w:noProof/>
        <w:color w:val="000000"/>
        <w:sz w:val="16"/>
        <w:szCs w:val="16"/>
      </w:rPr>
      <w:t>3</w:t>
    </w:r>
    <w:r>
      <w:rPr>
        <w:b/>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9FE1" w14:textId="77777777" w:rsidR="000B5895" w:rsidRDefault="000B5895">
    <w:pPr>
      <w:widowControl w:val="0"/>
      <w:spacing w:line="216" w:lineRule="auto"/>
      <w:rPr>
        <w:sz w:val="18"/>
        <w:szCs w:val="18"/>
      </w:rPr>
    </w:pPr>
  </w:p>
  <w:p w14:paraId="770D3900" w14:textId="77777777" w:rsidR="000B5895" w:rsidRDefault="000B5895">
    <w:pPr>
      <w:widowControl w:val="0"/>
      <w:spacing w:line="216"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71D4" w14:textId="77777777" w:rsidR="008D6287" w:rsidRDefault="008D6287">
      <w:r>
        <w:separator/>
      </w:r>
    </w:p>
  </w:footnote>
  <w:footnote w:type="continuationSeparator" w:id="0">
    <w:p w14:paraId="2B5EEA25" w14:textId="77777777" w:rsidR="008D6287" w:rsidRDefault="008D6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7A8C" w14:textId="77777777" w:rsidR="000B5895" w:rsidRDefault="00000000">
    <w:pPr>
      <w:pBdr>
        <w:top w:val="nil"/>
        <w:left w:val="nil"/>
        <w:bottom w:val="nil"/>
        <w:right w:val="nil"/>
        <w:between w:val="nil"/>
      </w:pBdr>
      <w:tabs>
        <w:tab w:val="center" w:pos="4680"/>
        <w:tab w:val="right" w:pos="9360"/>
      </w:tabs>
      <w:ind w:left="-288"/>
      <w:jc w:val="right"/>
      <w:rPr>
        <w:rFonts w:ascii="Arial" w:eastAsia="Arial" w:hAnsi="Arial" w:cs="Arial"/>
        <w:b/>
      </w:rPr>
    </w:pPr>
    <w:r>
      <w:rPr>
        <w:noProof/>
        <w:color w:val="000000"/>
      </w:rPr>
      <w:drawing>
        <wp:anchor distT="0" distB="0" distL="114300" distR="114300" simplePos="0" relativeHeight="251658240" behindDoc="0" locked="0" layoutInCell="1" hidden="0" allowOverlap="1" wp14:anchorId="7BCC37DF" wp14:editId="64884FBC">
          <wp:simplePos x="0" y="0"/>
          <wp:positionH relativeFrom="page">
            <wp:posOffset>635</wp:posOffset>
          </wp:positionH>
          <wp:positionV relativeFrom="page">
            <wp:posOffset>0</wp:posOffset>
          </wp:positionV>
          <wp:extent cx="7772400" cy="1638000"/>
          <wp:effectExtent l="0" t="0" r="0" b="0"/>
          <wp:wrapNone/>
          <wp:docPr id="13" name="image2.jpg"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Background pattern&#10;&#10;Description automatically generated with low confidence"/>
                  <pic:cNvPicPr preferRelativeResize="0"/>
                </pic:nvPicPr>
                <pic:blipFill>
                  <a:blip r:embed="rId1"/>
                  <a:srcRect/>
                  <a:stretch>
                    <a:fillRect/>
                  </a:stretch>
                </pic:blipFill>
                <pic:spPr>
                  <a:xfrm>
                    <a:off x="0" y="0"/>
                    <a:ext cx="7772400" cy="1638000"/>
                  </a:xfrm>
                  <a:prstGeom prst="rect">
                    <a:avLst/>
                  </a:prstGeom>
                  <a:ln/>
                </pic:spPr>
              </pic:pic>
            </a:graphicData>
          </a:graphic>
        </wp:anchor>
      </w:drawing>
    </w:r>
    <w:r>
      <w:rPr>
        <w:rFonts w:ascii="Arial" w:eastAsia="Arial" w:hAnsi="Arial" w:cs="Arial"/>
        <w:b/>
      </w:rPr>
      <w:t xml:space="preserve">DIVISION OF PREVENTIVE MEDICINE </w:t>
    </w:r>
  </w:p>
  <w:p w14:paraId="160713F8" w14:textId="77777777" w:rsidR="000B5895" w:rsidRDefault="00000000">
    <w:pPr>
      <w:widowControl w:val="0"/>
      <w:spacing w:before="11"/>
      <w:ind w:right="3"/>
      <w:jc w:val="right"/>
      <w:rPr>
        <w:rFonts w:ascii="Arial" w:eastAsia="Arial" w:hAnsi="Arial" w:cs="Arial"/>
      </w:rPr>
    </w:pPr>
    <w:r>
      <w:rPr>
        <w:rFonts w:ascii="Arial" w:eastAsia="Arial" w:hAnsi="Arial" w:cs="Arial"/>
      </w:rPr>
      <w:t xml:space="preserve">DEPARTMENT OF MEDICINE </w:t>
    </w:r>
  </w:p>
  <w:p w14:paraId="2895D308" w14:textId="77777777" w:rsidR="000B5895" w:rsidRDefault="00000000">
    <w:pPr>
      <w:widowControl w:val="0"/>
      <w:spacing w:before="13"/>
      <w:ind w:right="26"/>
      <w:jc w:val="right"/>
      <w:rPr>
        <w:rFonts w:ascii="Arial" w:eastAsia="Arial" w:hAnsi="Arial" w:cs="Arial"/>
      </w:rPr>
    </w:pPr>
    <w:r>
      <w:rPr>
        <w:rFonts w:ascii="Arial" w:eastAsia="Arial" w:hAnsi="Arial" w:cs="Arial"/>
      </w:rPr>
      <w:t xml:space="preserve">Faculty of Medicine and Dentistry </w:t>
    </w:r>
  </w:p>
  <w:p w14:paraId="16CDADC1" w14:textId="77777777" w:rsidR="000B5895" w:rsidRDefault="00000000">
    <w:pPr>
      <w:widowControl w:val="0"/>
      <w:spacing w:before="13"/>
      <w:ind w:right="26"/>
      <w:jc w:val="right"/>
      <w:rPr>
        <w:rFonts w:ascii="Arial" w:eastAsia="Arial" w:hAnsi="Arial" w:cs="Arial"/>
        <w:sz w:val="18"/>
        <w:szCs w:val="18"/>
      </w:rPr>
    </w:pPr>
    <w:r>
      <w:rPr>
        <w:rFonts w:ascii="Arial" w:eastAsia="Arial" w:hAnsi="Arial" w:cs="Arial"/>
        <w:sz w:val="18"/>
        <w:szCs w:val="18"/>
      </w:rPr>
      <w:t xml:space="preserve">5-30 University Terrace , 8303 – 112 Street </w:t>
    </w:r>
  </w:p>
  <w:p w14:paraId="6B8F8267" w14:textId="77777777" w:rsidR="000B5895" w:rsidRDefault="00000000">
    <w:pPr>
      <w:widowControl w:val="0"/>
      <w:ind w:right="59"/>
      <w:jc w:val="right"/>
      <w:rPr>
        <w:rFonts w:ascii="Arial" w:eastAsia="Arial" w:hAnsi="Arial" w:cs="Arial"/>
        <w:sz w:val="18"/>
        <w:szCs w:val="18"/>
      </w:rPr>
    </w:pPr>
    <w:r>
      <w:rPr>
        <w:rFonts w:ascii="Arial" w:eastAsia="Arial" w:hAnsi="Arial" w:cs="Arial"/>
        <w:sz w:val="18"/>
        <w:szCs w:val="18"/>
      </w:rPr>
      <w:t xml:space="preserve">Edmonton, AB T6G 2T4 </w:t>
    </w:r>
  </w:p>
  <w:p w14:paraId="7B8A9995" w14:textId="77777777" w:rsidR="000B5895" w:rsidRDefault="00000000">
    <w:pPr>
      <w:widowControl w:val="0"/>
      <w:ind w:right="31"/>
      <w:jc w:val="right"/>
    </w:pPr>
    <w:r>
      <w:rPr>
        <w:rFonts w:ascii="Arial" w:eastAsia="Arial" w:hAnsi="Arial" w:cs="Arial"/>
        <w:sz w:val="18"/>
        <w:szCs w:val="18"/>
      </w:rPr>
      <w:t xml:space="preserve">TEL: 780.492.1366 | FAX: 780.492.9677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73A3" w14:textId="77777777" w:rsidR="000B5895" w:rsidRDefault="000B5895">
    <w:pPr>
      <w:spacing w:line="276" w:lineRule="auto"/>
    </w:pPr>
  </w:p>
  <w:p w14:paraId="3ECEFACD" w14:textId="77777777" w:rsidR="000B5895" w:rsidRDefault="000B5895">
    <w:pPr>
      <w:widowControl w:val="0"/>
      <w:ind w:right="31"/>
      <w:jc w:val="right"/>
    </w:pPr>
  </w:p>
  <w:p w14:paraId="25785900" w14:textId="77777777" w:rsidR="000B5895" w:rsidRDefault="00000000">
    <w:pPr>
      <w:widowControl w:val="0"/>
      <w:ind w:left="90" w:right="31"/>
      <w:jc w:val="right"/>
    </w:pPr>
    <w:r>
      <w:rPr>
        <w:noProof/>
      </w:rPr>
      <w:drawing>
        <wp:anchor distT="114300" distB="114300" distL="114300" distR="114300" simplePos="0" relativeHeight="251659264" behindDoc="0" locked="0" layoutInCell="1" hidden="0" allowOverlap="1" wp14:anchorId="5C67C486" wp14:editId="13EB31BB">
          <wp:simplePos x="0" y="0"/>
          <wp:positionH relativeFrom="column">
            <wp:posOffset>4143375</wp:posOffset>
          </wp:positionH>
          <wp:positionV relativeFrom="paragraph">
            <wp:posOffset>146658</wp:posOffset>
          </wp:positionV>
          <wp:extent cx="2121218" cy="584647"/>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21218" cy="584647"/>
                  </a:xfrm>
                  <a:prstGeom prst="rect">
                    <a:avLst/>
                  </a:prstGeom>
                  <a:ln/>
                </pic:spPr>
              </pic:pic>
            </a:graphicData>
          </a:graphic>
        </wp:anchor>
      </w:drawing>
    </w:r>
  </w:p>
  <w:p w14:paraId="14FB1644" w14:textId="77777777" w:rsidR="000B5895" w:rsidRDefault="00000000">
    <w:pPr>
      <w:tabs>
        <w:tab w:val="left" w:pos="3"/>
        <w:tab w:val="right" w:pos="8640"/>
      </w:tabs>
      <w:spacing w:line="260" w:lineRule="auto"/>
      <w:ind w:left="270"/>
      <w:rPr>
        <w:b/>
        <w:smallCaps/>
        <w:sz w:val="26"/>
        <w:szCs w:val="26"/>
      </w:rPr>
    </w:pPr>
    <w:r>
      <w:rPr>
        <w:b/>
        <w:smallCaps/>
        <w:sz w:val="26"/>
        <w:szCs w:val="26"/>
      </w:rPr>
      <w:t>Division of Neurology</w:t>
    </w:r>
    <w:r>
      <w:rPr>
        <w:noProof/>
      </w:rPr>
      <mc:AlternateContent>
        <mc:Choice Requires="wpg">
          <w:drawing>
            <wp:anchor distT="0" distB="0" distL="114300" distR="114300" simplePos="0" relativeHeight="251660288" behindDoc="0" locked="0" layoutInCell="1" hidden="0" allowOverlap="1" wp14:anchorId="40DF9FBC" wp14:editId="5DFFD01A">
              <wp:simplePos x="0" y="0"/>
              <wp:positionH relativeFrom="column">
                <wp:posOffset>-914399</wp:posOffset>
              </wp:positionH>
              <wp:positionV relativeFrom="paragraph">
                <wp:posOffset>-101599</wp:posOffset>
              </wp:positionV>
              <wp:extent cx="1078230" cy="986790"/>
              <wp:effectExtent l="0" t="0" r="0" b="0"/>
              <wp:wrapNone/>
              <wp:docPr id="11" name="Rectangle 11"/>
              <wp:cNvGraphicFramePr/>
              <a:graphic xmlns:a="http://schemas.openxmlformats.org/drawingml/2006/main">
                <a:graphicData uri="http://schemas.microsoft.com/office/word/2010/wordprocessingShape">
                  <wps:wsp>
                    <wps:cNvSpPr/>
                    <wps:spPr>
                      <a:xfrm>
                        <a:off x="4821173" y="3300893"/>
                        <a:ext cx="1049655" cy="958215"/>
                      </a:xfrm>
                      <a:prstGeom prst="rect">
                        <a:avLst/>
                      </a:prstGeom>
                      <a:solidFill>
                        <a:srgbClr val="FFFFFF"/>
                      </a:solidFill>
                      <a:ln>
                        <a:noFill/>
                      </a:ln>
                    </wps:spPr>
                    <wps:txbx>
                      <w:txbxContent>
                        <w:p w14:paraId="1FE1A425" w14:textId="77777777" w:rsidR="000B5895" w:rsidRDefault="000B5895">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-914399</wp:posOffset>
              </wp:positionH>
              <wp:positionV relativeFrom="paragraph">
                <wp:posOffset>-101599</wp:posOffset>
              </wp:positionV>
              <wp:extent cx="1078230" cy="986790"/>
              <wp:effectExtent b="0" l="0" r="0" t="0"/>
              <wp:wrapNone/>
              <wp:docPr id="1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078230" cy="986790"/>
                      </a:xfrm>
                      <a:prstGeom prst="rect"/>
                      <a:ln/>
                    </pic:spPr>
                  </pic:pic>
                </a:graphicData>
              </a:graphic>
            </wp:anchor>
          </w:drawing>
        </mc:Fallback>
      </mc:AlternateContent>
    </w:r>
  </w:p>
  <w:p w14:paraId="7F91EA31" w14:textId="77777777" w:rsidR="000B5895" w:rsidRDefault="00000000">
    <w:pPr>
      <w:tabs>
        <w:tab w:val="left" w:pos="0"/>
      </w:tabs>
      <w:spacing w:line="260" w:lineRule="auto"/>
      <w:ind w:left="270"/>
      <w:rPr>
        <w:b/>
        <w:smallCaps/>
        <w:sz w:val="26"/>
        <w:szCs w:val="26"/>
      </w:rPr>
    </w:pPr>
    <w:r>
      <w:rPr>
        <w:b/>
        <w:smallCaps/>
        <w:sz w:val="26"/>
        <w:szCs w:val="26"/>
      </w:rPr>
      <w:t>Neuromuscular/EMG Program</w:t>
    </w:r>
  </w:p>
  <w:p w14:paraId="1BD2628C" w14:textId="77777777" w:rsidR="000B5895" w:rsidRDefault="00000000">
    <w:pPr>
      <w:tabs>
        <w:tab w:val="left" w:pos="720"/>
        <w:tab w:val="right" w:pos="8520"/>
        <w:tab w:val="right" w:pos="10170"/>
      </w:tabs>
      <w:spacing w:before="40"/>
      <w:ind w:left="270"/>
      <w:rPr>
        <w:sz w:val="17"/>
        <w:szCs w:val="17"/>
      </w:rPr>
    </w:pPr>
    <w:r>
      <w:rPr>
        <w:sz w:val="17"/>
        <w:szCs w:val="17"/>
      </w:rPr>
      <w:t>7</w:t>
    </w:r>
    <w:r>
      <w:rPr>
        <w:sz w:val="17"/>
        <w:szCs w:val="17"/>
        <w:vertAlign w:val="superscript"/>
      </w:rPr>
      <w:t>th</w:t>
    </w:r>
    <w:r>
      <w:rPr>
        <w:sz w:val="17"/>
        <w:szCs w:val="17"/>
      </w:rPr>
      <w:t xml:space="preserve"> Floor CSB, 11350 – 83 Avenue</w:t>
    </w:r>
  </w:p>
  <w:p w14:paraId="711B5B5D" w14:textId="77777777" w:rsidR="000B5895" w:rsidRDefault="00000000">
    <w:pPr>
      <w:tabs>
        <w:tab w:val="left" w:pos="-90"/>
        <w:tab w:val="right" w:pos="8520"/>
        <w:tab w:val="right" w:pos="10170"/>
      </w:tabs>
      <w:ind w:left="270"/>
      <w:rPr>
        <w:sz w:val="17"/>
        <w:szCs w:val="17"/>
      </w:rPr>
    </w:pPr>
    <w:r>
      <w:rPr>
        <w:sz w:val="17"/>
        <w:szCs w:val="17"/>
      </w:rPr>
      <w:t>Edmonton, Alberta, Canada T6G 2G3</w:t>
    </w:r>
  </w:p>
  <w:p w14:paraId="418CFC11" w14:textId="77777777" w:rsidR="000B5895" w:rsidRDefault="00000000">
    <w:pPr>
      <w:tabs>
        <w:tab w:val="left" w:pos="720"/>
        <w:tab w:val="right" w:pos="8520"/>
        <w:tab w:val="right" w:pos="10170"/>
      </w:tabs>
      <w:ind w:left="270"/>
      <w:rPr>
        <w:sz w:val="17"/>
        <w:szCs w:val="17"/>
      </w:rPr>
    </w:pPr>
    <w:r>
      <w:rPr>
        <w:sz w:val="17"/>
        <w:szCs w:val="17"/>
      </w:rPr>
      <w:t>Phone: 780.248.1660 / Fax: 780.248-1807</w:t>
    </w:r>
  </w:p>
  <w:p w14:paraId="58AEE6A0" w14:textId="77777777" w:rsidR="000B5895" w:rsidRDefault="000B5895">
    <w:pPr>
      <w:tabs>
        <w:tab w:val="left" w:pos="720"/>
        <w:tab w:val="right" w:pos="8520"/>
        <w:tab w:val="right" w:pos="10170"/>
      </w:tabs>
      <w:ind w:left="270"/>
      <w:rPr>
        <w:sz w:val="17"/>
        <w:szCs w:val="17"/>
      </w:rPr>
    </w:pPr>
  </w:p>
  <w:p w14:paraId="48D268C8" w14:textId="77777777" w:rsidR="000B5895" w:rsidRDefault="008D6287">
    <w:pPr>
      <w:tabs>
        <w:tab w:val="left" w:pos="720"/>
        <w:tab w:val="right" w:pos="8520"/>
        <w:tab w:val="right" w:pos="10170"/>
      </w:tabs>
      <w:ind w:left="270"/>
      <w:rPr>
        <w:sz w:val="17"/>
        <w:szCs w:val="17"/>
      </w:rPr>
    </w:pPr>
    <w:r>
      <w:rPr>
        <w:noProof/>
      </w:rPr>
      <w:pict w14:anchorId="39DF695C">
        <v:rect id="_x0000_i1025" alt="" style="width:468pt;height:.05pt;mso-width-percent:0;mso-height-percent:0;mso-width-percent:0;mso-height-percent:0" o:hralign="center" o:hrstd="t" o:hr="t" fillcolor="#a0a0a0" stroked="f"/>
      </w:pict>
    </w:r>
  </w:p>
  <w:p w14:paraId="4B0AA6A2" w14:textId="77777777" w:rsidR="000B5895" w:rsidRDefault="000B5895">
    <w:pPr>
      <w:tabs>
        <w:tab w:val="left" w:pos="720"/>
        <w:tab w:val="right" w:pos="8520"/>
        <w:tab w:val="right" w:pos="10170"/>
      </w:tabs>
      <w:ind w:left="270"/>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774E"/>
    <w:multiLevelType w:val="multilevel"/>
    <w:tmpl w:val="88E2C5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7B31C9"/>
    <w:multiLevelType w:val="multilevel"/>
    <w:tmpl w:val="634A6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E77514"/>
    <w:multiLevelType w:val="multilevel"/>
    <w:tmpl w:val="96D27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4E17EB"/>
    <w:multiLevelType w:val="multilevel"/>
    <w:tmpl w:val="698ED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906DCC"/>
    <w:multiLevelType w:val="multilevel"/>
    <w:tmpl w:val="17BA9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0962519">
    <w:abstractNumId w:val="3"/>
  </w:num>
  <w:num w:numId="2" w16cid:durableId="2138793551">
    <w:abstractNumId w:val="1"/>
  </w:num>
  <w:num w:numId="3" w16cid:durableId="1642686347">
    <w:abstractNumId w:val="0"/>
  </w:num>
  <w:num w:numId="4" w16cid:durableId="1456409740">
    <w:abstractNumId w:val="4"/>
  </w:num>
  <w:num w:numId="5" w16cid:durableId="1415274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895"/>
    <w:rsid w:val="000B5895"/>
    <w:rsid w:val="00176466"/>
    <w:rsid w:val="00234F9A"/>
    <w:rsid w:val="007B3A4C"/>
    <w:rsid w:val="008B26D9"/>
    <w:rsid w:val="008D6287"/>
    <w:rsid w:val="00B938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4C1F"/>
  <w15:docId w15:val="{8E67F881-651E-4643-892B-60D96EE2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qV9y0mz49zpWLf6dAlfa28/4lg==">CgMxLjAyCGgudHlqY3d0MgloLjF0M2g1c2YyCWguNGQzNG9nODIJaC4yczhleW8xMgloLjE3ZHA4dnU4AHIhMU81UE1DczkxQWRqOWdVQWdXNTJydlVHZzdWV09vSzN3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Cecile Phan</cp:lastModifiedBy>
  <cp:revision>3</cp:revision>
  <dcterms:created xsi:type="dcterms:W3CDTF">2024-02-22T02:37:00Z</dcterms:created>
  <dcterms:modified xsi:type="dcterms:W3CDTF">2024-06-17T20:12:00Z</dcterms:modified>
</cp:coreProperties>
</file>